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 заявителя, изложенные в кассационной жалобе, направлены на переоценку установленных судами обстоятельств по делу и не могут служить основанием для пересмотра судебных актов в кассационном порядке.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«Атрилэнд»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"АТРИЛЭНД" (подробнее) Ответчики: Департамент торговли и услуг города Москвы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