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Эсеньяна Г.П. определением Арбитражного суда города Москвы от 26.05.2022 частично удовлетворено ходатайство ранее назначенного финансового управляющего имуществом должника об истребовании доказательств у Коллегии адвокатов «ЭксЛедж». Финансовый управляющий Кафтанатий А.И. обратился в Арбитражный суд города Москвы с заявлением о взыскании с Коллегии адвокатов «ЭксЛедж» в конкурсную массу должника 30 000 рублей судебной неустойки за каждый день просрочки исполнения определения суда от 26.05.2022 по дату фактического исполнения судебного акта. Определением Арбитражного суда города Москвы от 17.10.2022, оставленным без изменения постановлением Девятого арбитражного апелляционного суда от 23.12.2022 и постановлением Арбитражного суда Московского округа от 27.02.2023, в удовлетворении заявления финансового управляющего отказано. . 2 Финансовый управляющий Кафтанатий А.И.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заявления, суды исходили из отсутствия оснований для применения пункта 1 статьи 308.3 Гражданского кодекса Российской Федерации в том числе в связи с тем, что финансовым управляющим не конкретизированы документы, которые не были предоставлены.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