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кассационных жалобах, поданных в Верховный Суд Российской Федерации, заявители, ссылаясь на нарушение судом округа норм права, просят пересмотреть указанный судебный акт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значение для правильного разрешения спора. 2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заявители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Определением Верховного Суда Российской Федерации от 04.04.2023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Республики Дагестан.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«Комокс» и общества с ограниченной ответственностью «Строительная компания «Новотэк»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«Строительная компания «Новотэк» в доход федерального бюджета 3000 (три тысячи) рублей государственной пошлины за подачу кассационной жалобы. Поручить Арбитражному суду Республики Дагестан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