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20.05.2022, оставленным без изменения постановлением Девятого арбитражного апелляционного суда от 15.08.2022 и постановлением Арбитражного суда Московского округа от 08.12.2022, в удовлетворении иска отказано. В кассационной жалобе, поданной в Верховный Суд Российской Федерации, заявитель, ссылаясь на нарушение судами норм материального права, просит отменить указанные судебные акты и направить дело на новое рассмотрение в суд первой инстанции. По запросу судьи Верховного Суда Российской Федерации от 16.03.2023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2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далее - АПК РФ). Таких оснований для пересмотра судебных актов по доводам кассационной жалобы, изученным по материалам истребованного дела, не установлено.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АПК РФ, руководствуясь статьями 8, 12, 309, 310 Гражданского кодекса Российской Федерации, исходили из недоказанности истцом обстоятельств, положенных в обоснование заявленных требований.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АПК РФ к отмене или изменению обжалованных судебных актов в порядке кассационного производства. Оценка доказательств и установление фактических обстоятельств дела не относится к компетенции судебной инстанции, пересматривающей судебный спор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«Руимпекс»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