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«Ростелеком» (далее – общество) обратилось в Арбитражный суд города Москвы с иском к Правительству города Москвы о взыскании 6 726 229 рублей убытков, вызванных неправомерными действиями по включению нежилого здания в Перечень постановления Правительства города Москвы от 28.11.2014 № 700-ПП «Об определении перечня объектов недвижимого имущества, в отношении которых налоговая база определяется как их кадастровая стоимость». Решением Арбитражного суда города Москвы от 04.08.2022, оставленным без изменения постановлением Девятого арбитражного апелляционного суда от 28.10.2022 и постановлением Арбитражного суда Московского округа от 03.02.2023,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судами норм права. При изучении доводов кассационной жалобы и принятых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Рассматривая спор, суды трех инстанций, руководствуясь положениями Гражданского кодекса Российской Федерации, разъяснениями, изложенными в пункте 38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пришли к выводу об отсутствии оснований для удовлетворения заявленного требования ввиду недоказанности наличия совокупности условий, необходимых для взыскания с Правительства города Москвы убытков.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«Ростелеком»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"Ростелеком" (подробнее) Ответчики: Высший исполнительный орган государственной власти города Москвы-Правительство Москвы (подробнее) Иные лица: Управление Федерального казначейства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