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«Новые Черемушки» (далее – общество) обратилось в Арбитражный суд города Москвы с иском к Правительству города Москвы о взыскании 4 143 525 рублей 93 копеек убытков. Решением Арбитражного суда города Москвы от 29.07.2022, оставленным без изменения постановлением Девятого арбитражного апелляционного суда от 31.08.2022 и постановлением Арбитражного суда Московского округа от 13.12.2022,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из Арбитражного суда города Москвы дела № А40-65003/2022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Гражданского кодекса Российской Федерации, пришли к выводу об отсутствии оснований для удовлетворения заявленного требования ввиду недоказанности 2 наличия совокупности условий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«Новые Черемушки»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