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454, 468, 469, 475, 665, 2 670 Гражданского кодекса Российской Федерации, положениями Федерального закона от 29.10.1998 № 164-ФЗ «О финансовой аренде (лизинге), исходили из недоказанности наличия существенных недостатков спорного транспортного средства для целей возложения на ответчика обязанности по его замене.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«Авиа Импульс»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