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25.05.2022. Определением Арбитражного суда Костромской области от 10.06.2022, оставленным без изменения постановлением Второго арбитражного апелляционного суда от 12.09.2022 и постановлением Арбитражного суда Волго-Вятского округа от 09.01.2023,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