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и процессуального права,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Исследовав и оценив представленные в материалы дела доказательства, руководствуясь положениями гражданского законодательства 2 и законодательства, регулирующего обращение с твердыми коммунальными отходами (далее – ТКО) и порядок их коммерческого учета объема и (или) массы, установив факт оказания истцом (региональный оператор) ответчику в спорный период услуг по обращению с ТКО на условиях типового договора, отсутствие доказательств неоказания истцом услуг, а также оплаты ответчиком оказанных услуг, суды пришли к выводу о наличии оснований для удовлетворения иска.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дали надлежащую правовую оценку доводам заявителя со ссылкой на положения норм действующего законодательства применительно к установленным фактическим обстоятельствам дела.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жилищно-строительного кооператива «Молодежный»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