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«Перевал» (далее – общество) обратилось в Арбитражный суд города Москвы с иском к Правительству города Москвы о взыскании 10 327 997 рублей 64 копеек убытков. Решением Арбитражного суда города Москвы от 09.06.2022, оставленным без изменения постановлением Девятого арбитражного апелляционного суда от 04.08.2022 и постановлением Арбитражного суда Московского округа от 08.11.2022,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судами норм права. При изучении доводов кассационной жалобы и принятых судебных актов по материалам истребованного из Арбитражного суда города Москвы дела № А40-64826/2022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Рассматривая спор, суды трех инстанций, руководствуясь положениями норм Гражданского кодекса Российской Федерации, разъяснениями, изложенными в пункте 38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пришли к выводу об отсутствии оснований для удовлетворения заявленного требования ввиду недоказанности наличия совокупности условий, необходимых для взыскания с Правительства города Москвы убытков.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«Перевал»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"Перевал" (подробнее) Ответчики: Высший исполнительный орган государственной власти города Москвы-Правительство Москвы (подробнее) Иные лица: Управление Федерального казначейства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