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по правилам статьи 71 Арбитражного процессуального 2 кодекса Российской Федерации, руководствуясь статьями 12, 432, 434, 1102, 1107 Гражданского кодекса Российской Федерации, исходили из недоказанности наличия на стороне ответчика неосновательного обогащения за счет истца. Из содержания судебных актов следует, что суды первой и апелляционной инстанций всесторонне исследовали доказательства по делу, установили необходимые для разрешения спора обстоятельства, а суд округа не выявил нарушений норм права, являющихся основаниями для отмены обжалуемых судебных актов.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«Мами здоровье для вас»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