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 кассационных жалоб являлись предметом рассмотрения судов трех инстанций, направлены на переоценку установленных судами фактических обстоятельств по делу и не могут служить основанием для пересмотра судебных актов в кассационном порядке.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Карасюку Григорию Владимировичу, индивидуальному предпринимателю Балаянцу Вадиму Игоревичу, обществу с ограниченной ответственностью «Ти Энд Си Трейд», конкурсному управляющему общества с ограниченной ответственностью «Ти Энд Си Сервис» Исмагилову Дамиру Марсельевичу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