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Костромской области от 10.06.2022, оставленным без изменения постановлениями Второго арбитражного апелляционного суда от 10.08.2022 и Арбитражного суда Волго-Вятского округа от 09.01.2023, отказано в удовлетворении заявления Соколова Н.М. об исправлении опечатки в определении Арбитражного суда Костромской области от 26.05.2022.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ходатайства об исправлении опечатки, суд первой инстанции, руководствуясь положениями статьи 179 Арбитражного процессуального кодекса Российской Федерации, исходил из отсутствия причин для удовлетворения требований по заявленным основаниям.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