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 мая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определением Арбитражного суда Костромской области от 10.06.2022, оставленным без изменения постановлениями Второго арбитражного апелляционного суда от 12.09.2022 и Арбитражного суда Волго-Вятского округа от 09.01.2023, отказано в удовлетворении заявления Соколова Н.М. об исправлении опечатки в определении Арбитражного суда Костромской области от 25.05.2022. В кассационной жалобе, поданной в Верховный Суд Российской Федерации, заявитель выражает несогласие с указанными судебными актами. Основаниями для отмены или изменения Судебной коллегией Верховного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2 Между тем по результатам изучения состоявшихся по делу судебных актов и доводов кассационной жалобы таких оснований не установлено. Отказывая в удовлетворении ходатайства об исправлении опечатки, суд первой инстанции, руководствуясь положениями статьи 179 Арбитражного процессуального кодекса Российской Федерации, исходил из отсутствия причин для удовлетворения требований по заявленным основаниям. Суды апелляционной инстанции и округа поддержали выводы суда первой инстанции. Выводы судов соответствуют нормам права, оснований для переоценки этих выводов не имеется. Нарушений норм процессуального права, влекущих за собой безусловную отмену обжалуемых судебных актов, судами не допущено.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Соколову Николаю Михайловичу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