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08.08.2022, оставленным без изменения постановлением Девятого арбитражного апелляционного суда от 26.10.2022 и постановлением Арбитражного суда Московского округа от 24.01.2023, в удовлетворении заявления отказано. В кассационной жалобе Веснин Е.В. просит об отмене судебных актов, ссылаясь на игнорирование условий недействительности сделки и неосновательный отказ в истребовании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Правовая оценка судами совершенных в условиях несостоятельности должника платежей в пользу лиц, оказавших профессиональную юридическую помощь, соответствует судебной практике.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Веснину Е.В.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