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Девятого арбитражного апелляционного суда от 21.12.2022 и постановление Арбитражного суда Московского округа от 22.02.2023 по делу № А40-8862/2020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