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отказывая в удовлетворении иска о взыскании стоимости выполненных работ, суд первой инстанции пришел к выводу о том, что работы, выполненные генподрядчиком, являются дополнительными, закупка специализированного медицинского оборудования не согласована с заказчиком, отсутствуют доказательства, что невыполнение работ или отсутствие оборудования могло привести к гибели (повреждению) имущества, либо данные работы (закупка оборудования) не могли быть учтены в технической и сметной документациях, но должны быть произведены в целях достижения предусмотренного контрактом результата. Отменяя решение суда первой инстанции, суд апелляционной инстанции, оценив представленные доказательства, установив, что спорные работы не являются дополнительными, выполнены подрядчиком в соответствии с условиями контракта по заданию заказчика на основании утвержденной им проектно-сметной документации, прошедшей государственную экспертизу и получившей положительное заключение, не превышают допустимые пределы увеличения объема работ (10%), их качество и потребительская ценность для заказчика подтверждены заключением судебной экспертизы, признал требование подрядчика об их оплате подлежащим удовлетворению. Суд округа поддержал выводы суда апелляционной инстанции.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Применение судами апелляционной инстанции и округа положений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в редакции Федерального закона от 02.07.2021 № 360-ФЗ «О внесении изменений в отдельные законодательные акты Российской Федерации» не привело к принятию неправильного решения, поскольку редакция указанной нормы, действующая в период спорных правоотношений, позволяла по соглашению сторон изменять объем работ по контрактам в пределах 10%. Ссылка заявителя на иную судебную практику является несостоятельной, поскольку основана на иных фактических обстоятельствах дела, отличных от настоящего спора. Выраженное в жалобе несогласие с выводами судов направлено на переоценку представленных в материалы дела доказательств, что не относится к полномочиям кассационной инстанции Верховного Суда Российской Федерации.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постановления суда апелляционной инстанции остается без рассмотрения.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учреждению здравоохранения Республики Крым «Республиканская клиническая больница им. Н.А.Семашко»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"Ракета-Строй" (подробнее) Ответчики: ГОСУДАРСТВЕННОЕ БЮДЖЕТНОЕ УЧРЕЖДЕНИЕ ЗДРАВООХРАНЕНИЯ РЕСПУБЛИКИ КРЫМ "РЕСПУБЛИКАНСКАЯ КЛИНИЧЕСКАЯ БОЛЬНИЦА ИМ. Н.А. СЕМАШКО" (подробнее) Иные лица: НО РФКРМД РК (подробнее) ООО "Экспертно-кадастровый центр"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