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25.04.2023 обратился в Верховный Суд Российской Федерации с жалобой на определение судьи Верховного Суда Российской Федерации от 05.04.2023 № 305-ЭС23-2898, постановление Девятого арбитражного апелляционного суда от 15.09.2022 и постановление Арбитражного суда Московского округа от 19.12.2022 по делу № А40-103351/2021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Компания «Стэппс Ист»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