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целом доводы кассационной жалобы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Ссылка на то, что судами не дана оценка всем доводам заявителя, подлежит отклонению как несостоятельная, поскольку неотражение в судебном 2 акте всех имеющихся в деле доказательств либо доводов стороны не свидетельствует об отсутствии их надлежащей судебной проверки и оценки.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