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21.04.2023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15.02.2023, срок на обжалование которого истек 17.04.2023. Обратившись с кассационной жалобой 21.04.2023,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нахождение своего представителя (штатного юриста) в ежегодном отпуске.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являлось истцом по настоящему по делу, а также инициаторам апелляционного и кассационного обжалования,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Московского округа от 15.02.2023 заявитель мог ознакомиться 16.02.2023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Кроме того, отсутствие штатного юриста или нахождение его в отпуске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уважительных причин, с наличием которой процессуальный закон связывает возможность восстановления срока на обжалование судебных актов.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«Автоматизированные Бизнес Системы» в удовлетворении ходатайства о восстановлении пропущенного процессуального срока. Кассационную жалобу на решение Арбитражного суда города Москвы от 19.07.2022, постановление Девятого арбитражного апелляционного суда от 17.10.2022 и постановление Арбитражного суда Московского округа от 15.02.2023 по делу № А40- 240403/2021 возвратить заявителю. Судья Верховного Суда Российской Федерации М.К. Антонова Суд: Верховный Суд РФ (подробнее) Истцы: ООО "АВТОМАТИЗИРОВАННЫЕ БИЗНЕС СИСТЕМЫ" (подробнее) Ответчики: ООО "Сетелем Банк"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