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исключении из конкурсной массы денежных средств, понуждении финансового управляющего выдать денежные средства, в том числе для участия в судебных заседаниях. Определением Арбитражного суда Костромской области от 19.01.2022, оставленным без изменения постановлением Второго арбитражного апелляционного суда от 20.04.2022 и постановлением Арбитражного суда Волго-Вятского округа от 01.02.2023,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статьей 213.25 Федерального закона от 26.10.2002 № 127-ФЗ «О несостоятельности (банкротстве)», учли принципы целесообразности, разумности и добросовестности, неприкосновенности минимума имущества, необходимого для существования должника-гражданина и членов его семьи, а также обеспечения справедливого баланса между имущественными интересами кредиторов и личными правами должника и не усмотрели оснований для исключения из конкурсной массы и выплаты должнику запрашиваемых им сумм.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