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Выраженное в жалобе несогласие с выводами судов, направлено на переоценку представленных в материалы дела доказательств, что не относится к полномочиям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«ПромТехТранс»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по добыче угля Воркутауголь (подробнее) ООО ПРОМТЕХТРАНС (подробнее) Ответчики: ООО ПРОИЗВОДСТВЕННОЕ ПРЕДПРИЯТИЕ СОКОЛ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