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подаче кассационной жалобы обществу с ограниченной ответственностью «Конструкторское бюро «Завод индустриальных машин» предоставлена отсрочка уплаты государственной пошлины. Поскольку производство по рассмотрению кассационной жалобы завершено, государственная пошлина подлежит взысканию с заявителя в доход федерального бюджета.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«Конструкторское бюро «Завод индустриальных машин»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«Конструкторское бюро «Завод индустриальных машин» в доход федерального бюджета 3 000 (три тысячи) рублей государственной пошлины за рассмотрение кассационной жалобы. Поручить Арбитражному суду Краснодарского края выдать исполнительный лист на взыскание государственной пошлины. Судья Верховного Суда Российской Федерации А.Г.Першутов Суд: Верховный Суд РФ (подробнее) Истцы: ООО "МУСЭ" (подробнее) ООО "СибМаш"Титан" (подробнее) ООО "ФОТОТЕХ" (подробнее) Ответчики: ОАО РН-Туапсинский НПЗ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