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Свердловской области от 01.08.2022 завершена процедура реализации имущества в отношении Хорошего Е.А., должник освобожден от дальнейшего исполнения обязательств, в том числе требований кредиторов, не заявленных при введении реализации имущества гражданина. Постановлением Семнадцатого арбитражного апелляционного суда от 02.11.2022 определение суда первой инстанции оставлено без изменения. Арбитражный суд Уральского округа постановлением от 26.01.2023 указанные судебные акты оставил без изменения. АО «Банк Интеза» обратилось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Завершая процедуру реализации имущества должника, суды руководствовались положениями статей 213.2, 213.25, 213.28 Федерального закона от 26.10.2002 № 127-ФЗ «О несостоятельности (банкротстве)», разъяснениями, изложенными в пунктах 45 и 46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исходили из проведения необходимых мероприятий по выявлению и реализации имущества должника и отсутствия возможности пополнения конкурсной массы, признав возможным применение в отношении должника правила об освобождении от исполнения обязательств, не усмотрев в действиях должника недобросовестного поведения, умышленного уклонения от исполнения обязательств перед кредитором, не установив признаков преднамеренного и фиктивного банкротства.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