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отказывая в удовлетворении заявленного требования, суды исходили из соответствия предписания органа по надзору в сфере пожарной безопасности нормам действующего законодательства и отсутствия нарушения прав и законных интересов заявителя. При исследовании обстоятельств дела установлено, что оспариваемое предписание отвечает критериям определенности и исполнимости, не возлагает на союз не предусмотренных законом обязанностей, направлено на недопустимость и снижение риска причинения вреда жизни и здоровью людей, уничтожения имущества при возможном возникновении пожара. 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Доводы, изложенные в кассационной жалобе, являлись предметом рассмотрения судов и получили правовую оценку с учетом установленных 2 обстоятельств дела. Несогласие заявителя с выводами судов, иная оценка им фактических обстоятельств дела не свидетельствуют о наличии оснований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Калининградскому областному союзу рыболовецких колхозов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