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отказывая в удовлетворении заявленного требования, суды пришли к выводу о том, что оспариваемое предостережение органа жилищного надзора не противоречит требованиям действующего законодательства и не нарушает права и законные интересы заявителя. При этом судебные инстанции исходили из того, что общество с 01.12.2020 не является исполнителем коммунальных услуг, в связи с чем не вправе отображать информацию о произведенных перерасчетах платы на лицевом счете в платежном документе и предъявлять в платежных документах плату за коммунальные услуги потребителям, отметив, что оспариваемое предостережение не запрещает и не ограничивает право общества требовать от потребителей оплаты ранее оказанных услуг, но в ином порядке. Суды также приняли во внимание структуру и содержание платежных документов, которые не позволяют определить период и основания начисления (перерасчета) со стороны общества, из которых следует, что фактически потребителю предлагается оплатить текущие коммунальные услуги (в том числе пени по состоянию на дату выставления требования), хотя исполнителем коммунальных услуг (ресурсоснабжающей организацией) на момент выставления платежных документов общество не является. 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Иное толкование заявителем жалобы норм материального права не свидетельствует о неправильном применении их судами с учетом установленных обстоятельств дела.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Иркутскому публичному акционерному обществу энергетики и электрификации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ПАО Иркутское энергетики и электрификации "Иркутскэнерго" (подробнее) Ответчики: Служба государственного жилищного и строительного надзора Иркутской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