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недействительными сделками начисления работнику должника – ФИО1 заработной платы по трудовому договору от 01.03.2019, произведённую на основании данного трудового договора переплату в пользу работника в размере 668 455 рублей 10 копеек; применении последствий недействительности сделок. ФИО1 обратилась в суд с заявлением, объединённым с вышеуказанным заявлением в одно производство для совместного рассмотрения, об установлении требований в размере 724 471 рубль 45 копеек – задолженности по заработной плате за период с 01.07.2019 по 30.10.2019, а также компенсации за задержку выплаты заработной платы в сумме 49 873 рубля 43 копейки в реестр требований кредиторов должника (далее – реестр). Определением Арбитражного суда Тульской области от 24.05.2022, оставленным без изменения постановлениями Двадцатого арбитражного апелляционного суда от 04.08.2022 и Арбитражного суда Центрального округа от 26.12.2022, удовлетворено заявление конкурсного управляющего в части признания недействительной сделкой перечисления ФИО1 переплаты по заработной плате 666 847 рублей 35 копеек, применены последствия недействительности сделки в виде взыскания с ФИО1 в конкурсную массу должника денежных средств в указанном размере; отказано в удовлетворении встречных требований ФИО1 о включении требований в реестр.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 , пункта 1 статьи 61.2 и статьи 61.6 Федерального закона от 26.10.2002 № 127-ФЗ «О несостоятельности (банкротстве)», установив совершение оспариваемых перечислений заинтересованными лицами с противоправной целью после возбуждения настоящего дела о банкротстве должника, отсутствия в материалах дела доказательств разумного экономического обоснования необходимости увеличения оклада работника ввиду уменьшения фактического объема выполняемой работы, пришли к выводу об обоснованности заявления конкурсного управляющего должником в части неравноценности выплаченной работнику заработной платы по отношению к объему проделанной им работы, указав на следствие сделок – причинение вреда имущественным правам кредиторов должника, правомерно применив последствия недействительности сделок. Как следствие, суды пришли к выводу об отсутствии оснований для удовлетворения встречного заявления ФИО1 и включения в реестр её требований о выплате повышенной заработной платы, основанных на тех же трудовых отношениях.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"ТНС Энерго Тула" (подробнее) АО "Тулагорводоканал" (подробнее) АО "Тульское предприятие тепловых сетей" (подробнее) Государственная жилищная инспекция Тульской области (подробнее) ООО "Управляющая компания "Ваш Дом" (подробнее) Ответчики: ООО "Управляющая компания "Ваш дом" (подробнее) Иные лица: САМРО "Ассоциация антикризисных управляющих"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