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открытого акционерного общества «Зеленый град» (далее – должник) компания обратилась в Арбитражный суд города Москвы с заявлением о включении в реестр требований кредиторов должника (далее – реестр) 30 995 957 рублей 98 копеек основного долга и 177 980 рублей расходов по уплате государственной пошлины. Определением суда первой инстанции от 02.02.2018, оставленным без изменения постановлениями судов апелляционной инстанции от 05.06.2018 и округа от 22.08.2018, в удовлетворении заявления отказано. В кассационной жалобе, поданной в Верховный Суд Российской Федерации, компания просит отменить принятые по обособленному спору судебные акты в связи с существенными нарушениями судами норм материального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В обоснование заявления компания ссылалась на наличие требования к должнику, возникшего из контракта на строительство объекта от 09.04.2004 и приобретенного у общества «Дедал-строй» на основании договора уступки требования (цессии) от 07.07.2014. Разрешая обособленный спор, суды первой и апелляционной инстанций, с выводами которых согласился суд округа, руководствовались главой 37 Гражданского кодекса Российской Федерации, учли разъяснения, содержащиеся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данное требование достоверными и надлежащими доказательствами не подтверждено. Кроме того, суды указали на пропуск компанией срока исковой давности по заявленному требованию. Изложенные в жалобе доводы не подтверждают существенных нарушений судами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АКБ "Инвестторгбанк" (подробнее) АО "ЗЕЛЕНЫЙ ГРАД" (подробнее) АО "Инвестиционный торговый банк" (подробнее) ИК Ланкино Коммерс Лтд. (подробнее) ИК Тринадио Груп Инк. (подробнее) Иностранная компания Тринадио Груп Инк. (подробнее) ИП Тишкова И.Г. (подробнее) ИФНС России №35 по г.Москве (подробнее) ООО "Авентин-XXI" (подробнее) ООО "Ника" (подробнее) ООО "ПАКСПРЕМИУМ" (подробнее) Федеральная налоговая служба (подробнее) Ответчики: Иностранная компания Ланкино Коммерс Лтд. (подробнее) ОАО "Зеленый град" (подробнее) Иные лица: В/У Гордеев А.В. (подробнее) МСОПАУ (подробнее) СРО "Сибирский центр экспертов АУ" (подробнее) Судьи дела: Капкаев Д.В. (судья) Последние документы по делу: Определение от 20 апреля 2023 г. по делу № А40-158290/2016 Определение от 30 марта 2023 г. по делу № А40-158290/2016 Определение от 8 декабря 2022 г. по делу № А40-158290/2016 Определение от 25 марта 2022 г. по делу № А40-158290/2016 Определение от 6 декабря 2021 г. по делу № А40-158290/2016 Определение от 2 сентября 2021 г. по делу № А40-158290/2016 Определение от 11 июня 2021 г. по делу № А40-158290/2016 Определение от 26 февраля 2020 г. по делу № А40-158290/2016 Определение от 11 февраля 2020 г. по делу № А40-158290/2016 Определение от 10 февраля 2020 г. по делу № А40-158290/2016 Определение от 20 января 2020 г. по делу № А40-158290/2016 Определение от 24 декабря 2019 г. по делу № А40-158290/2016 Определение от 19 декабря 2019 г. по делу № А40-158290/2016 Определение от 27 декабря 2018 г. по делу № А40-158290/2016 Определение от 24 декабря 2018 г. по делу № А40-158290/2016 Определение от 19 декабря 2018 г. по делу № А40-158290/2016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