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города Москвы обратился конкурсный кредитор ФИО1 с заявлением о признании недействительной сделкой договора определения долей и дарения доли квартиры от 08.04.2015, заключенного между должником и ФИО3, и применении последствий недействительности сделки. Определением Арбитражного суда города Москвы от 15.08.2022 в удовлетворении заявления отказано. Постановлением Девятого арбитражного апелляционного суда от 09.11.2022 определение суда первой инстанции оставлено без изменения. Арбитражный суд Московского округа постановлением от 31.01.2023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1 , 10 , 168 , 170 Гражданского кодекса Российской Федерации и исходили из отсутствия обстоятельств, позволяющих квалифицировать спорную сделку в качестве мнимой либо совершенной со злоупотреблением правом, учитывая отсутствие доказательств наличия у должника на момент совершения оспариваемой сделки неисполненных обязательств перед кредиторами, во избежание исполнения которых могла бы быть совершена мнимая сделка, права на отчужденную должником квартиру зарегистрированы за ответчиком в установленном законом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"МОСЭНЕРГОСБЫТ" (подробнее) ООО "СТИЛКОМ ТРАНС" (подробнее) ПАО " Сбербанк России" (подробнее) Иные лица: Ассоциации СРО "МЦПУ" (подробнее) Судьи дела: Зарубина Е.Н.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