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10.06.2022. Определением Арбитражного суда Костромской области от 19.07.2022, оставленным без изменения постановлением Второго арбитражного апелляционного суда от 03.10.2022 и постановлением Арбитражного суда Волго-Вятского округа от 26.01.2023,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