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повторяют правовую позицию заявителя по спору, являлись предметом рассмотрения судов и получили правовую оценку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«Сочинская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"Сочинская строительная компания" (подробнее) Ответчики: Министерство цифрового развития, связи и массовых коммуникаций Российской Федерации (подробнее) ФГБУ "Отраслевой центр мониторинга и развития в сфере инфокоммуникационных технологий"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