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Отказывая в удовлетворении заявления, суды пришли к выводу о соответствии предписания и решения органов по надзору в сфере пожарной безопасности в оспариваемой части нормам действующего законодательства и отсутствии нарушения прав и законных интересов заявителя. При этом судебные инстанции учли условия договоров, заключенных обществом с собственниками помещений, расположенных в объекте защиты, и исходили из того, что заявителем не представлено доказательств принятия всех зависящих от него мер для соблюдения правил пожарной безопасности при эксплуатации здания. Судами указано, что общество как управляющая и эксплуатирующая организация обязано осуществлять контроль за работоспособностью общих систем обеспечения безопасности здания в интересах всех собственников здания, а также его посетителей; правом беспрепятственного доступа в помещения, в которых обнаружены нарушения требований пожарной безопасности, предоставленным условиями договоров, с целью проведения осмотров, в ходе которых могли быть выявлены допущенные собственниками нарушения, общество не воспользовалось; выявленные нарушения влияют на безопасность всех лиц, находящихся в деловом центре, независимо от конкретного места локализации нарушения. Несогласие заявителя с выводами судов, иная оценка им фактических обстоятельств дела и иное применение к ним положений закона не свидетельствуют о наличии оснований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«Динамика»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"Управляющая компания "Динамика" (подробнее) Ответчики: Министерство Российской Федерации по делам гражданской обороны, чрезвычайным ситуациям и ликвидации последствий стихийных бедствий (подробнее) Отдел надзорной деятельности и профилактической работы по муниципальному образованию города Новый Уренгой Главного управления Министерства чрезвычайных ситуаций России по Ямало-Ненецкому автономному округу (подробнее) Иные лица: АО "Уренгойтеплогенерация-1" (подробнее) Арбитражный суд Западно-Сибирского округа (подробнее) Восьмой арбитражный апелляционный суд (подробнее)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Ямало-Ненецкому автономному округу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