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«Торговый Дом Пятовское» обратилось в суд с заявлением о включении в реестр требований кредиторов должника (далее – реестр) его требования в размере 17 411 014 рублей основного долга и 1 183 128 рублей 80 копеек процентов за пользование чужими денежными средствами. Определением Арбитражного суда Калужской области от 14.06.2019 требование общества «Торговый Дом Пятовское» в размере 17 411 014 рублей основного долга и 1 183 128 рублей 80 копеек процентов за пользование чужими денежными средствами признано обоснованным и подлежащим включению в третью очередь реестра требований кредиторов должника. Привлекаемое к субсидиарной ответственности по обязательствам должника общество «Чувашстрой», не согласившись с определением суда первой инстанции от 14.06.2019, обратилось в суд с апелляционной жалобой. Постановлениями Двадцатого арбитражного апелляционного суда от 25.10.2022 и Арбитражного суда Центрального округа от 02.02.2023 определение суда первой инстанции от 14.06.2019 оставлено без изменения.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заявленного требования, суды апелляционной инстанции и округа, руководствуясь положением статей 16, 71 и 100 Федерального закона от 26.10.2002 № 127-ФЗ «О несостоятельности (банкротстве)», исходили из фактически установленных обстоятельств по делу и отсутствии причин для удовлетворения требования общества «Чувашстрой» по заявленным основаниям.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«Чувашстрой»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