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Девятого арбитражного апелляционного суда от 21.10.2022, оставленным без изменения постановлением Арбитражного суда Московского округа от 20.12.2022, производство по апелляционной жалобе Руснака В.В. прекращено в связи с отказом в восстановлении срока на обжалование. В кассационной жалобе Руснак В.В. просит отменить судебные акты, ссылаясь на нарушение процессуальных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Апелляционный суд установил, что суд первой инстанции принял меры к установлению места регистрации ответчика и известил его о рассмотрении спора по актуальному адресу, в связи с чем отклонил его довод о неосведомленности о принятом судебном акте в соответствии со статьями 121, 123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Руснаку Вячеславу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