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обратилась в суд с заявлением о включении требования в реестр требований кредиторов должника (далее – реестр) в связи с ненадлежащим исполнением должником Соглашения о реализации инвестиционного проекта. Определением Арбитражного суда Московской области от 21.06.2022, заявленные требования удовлетворены. Признано обоснованным и включено в реестр требование в размере 2 544 771 588 рублей 46 копеек. Постановлением Десятого арбитражного апелляционного суда от 26.09.2022, оставленным без изменения постановлением Арбитражного суда Московского округа от 27.12.2022, определение суда первой инстанции отменено, в удовлетворении заявления о включении требования в реестр отказано. В кассационной жалобе, поданной в Верховный Суд Российской Федерации, заявитель просит отменить оспариваемые судебные акты,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инстанции, апелляционный суд, руководствуясь статьями 71 и 100 Федерального закона от 26.10.2002 № 127-ФЗ «О несостоятельности (банкротстве)», исходил из отсутствия оснований для включения в реестр требований кредиторов должника требований администрации по заявленным основаниям. С выводами суда апелляционной инстанции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городского округа Люберцы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