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Самарской области от 03.08.2022, оставленным без изменения постановлением Одиннадцатого арбитражного апелляционного суда от 06.10.2022 и постановлением Арбитражного суда Поволжского округа от 20.12.2022 в удовлетворении заявления отказано. В кассационной жалобе Акусев А.Н. просит об отмене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заинтересованности сторон и умаления конкурсной массы должника вследствие совершения сделок по отчуждению недвижимого имущества по рыночной стоимости, препятствующих признанию их недействительными в силу пункта 2 статьи 61.2 Федерального закона от 26.10.2002 № 127-ФЗ «О несостоятельности (банкротстве)». Требуемая переоценка обстоятельств совершения сделок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Акусеву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