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Костромской области от 19.07.2022, оставленным без изменения постановлениями Второго арбитражного апелляционного суда от 28.09.2022 и Арбитражного суда Волго-Вятского округа от 23.01.2023, отказано в удовлетворении заявления Соколова Н.М. об исправлении опечатки в определении Арбитражного суда Костромской области от 10.06.2022.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ходатайства об исправлении опечатки, суд первой инстанции, руководствуясь положениями статьи 179 Арбитражного процессуального кодекса Российской Федерации, исходил из отсутствия причин для удовлетворения требований по заявленным основаниям.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