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Диденко И.Г. определением Арбитражного суда города Санкт-Петербурга и Ленинградской области от 30.09.2019, с учетом определения об исправлении описок от 04.10.2019, требование кредитора-заявителя ООО «Дальтерминал» (в порядке процессуального правопреемства замененного на ООО «Минтака», затем на ООО «Монолит», затем на ООО «Вертикали») в размере 448 405 503 рублей 18 копеек признано обоснованным и подлежащим включению в третью очередь реестра требований кредиторов должника. АО «Инжторгстрой» обратилось в Арбитражный суд города Санкт- Петербурга и Ленинградской области с заявлением о пересмотре определения суда о включении требования общества в реестр требований кредиторов должника по вновь открывшимся обстоятельствам. К участию в обособленном споре в качестве третьего лица, не заявляющего самостоятельных требований относительно предмета спора, привлечено ПАО «Банк «Уралсиб». Определением Арбитражного суда города Санкт-Петербурга и Ленинградской области от 22.06.2022, оставленным без изменения постановлением Тринадцатого арбитражного апелляционного суда от 23.09.2022 и постановлением Арбитражного суда Северо-Западного округа от 26.12.2022, в удовлетворении заявления отказано. 2 АО «Инжторгстрой» и ПАО «Банк Уралсиб»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 с учетом правовых позиций, изложенных в пункте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 пункте 17 Обзора судебной практики Верховного Суда Российской Федерации № 3 (2020), утвержденного Президиумом Верховного Суда Российской Федерации 25.11.2020.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