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финансовый управляющий ФИО2 обратился в Арбитражный суд Костромской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уступки права требования от 01.06.2013, заключенного должником с ФИО3, и применении последствий его недействительности. К участию в рассмотрении заявления в качестве третьих лиц, не заявляющих самостоятельных требований относительно предмета спора, привлечены ФИО1 и ФИО4. Определением Арбитражного суд Костромской области от 18.04.2022 заявление удовлетворено, договор признан недействительным, применены последствия его недействительности в виде восстановления права требования ФИО3 к ФИО4 Постановлением Второго арбитражного апелляционного суда от 26.07.2022 определение суда первой инстанции оставлено без изменения. Арбитражный суд Волго-Вятского округа постановлением от 27.12.2022 указанные судебные акты отменил и направил обособленный спор на новое рассмотрение в Арбитражный суд Костромской области. Финансовый управляющий ФИО2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"Арт-Строй" (подробнее) Управление имущественных и земельных отношений Администрации города Костромы (подробнее) Иные лица: МСРО ПАУ ЦФО (подробнее) САУ СРО "Северная столица"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