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Шубина И.А. в Арбитражный суд Мурманской области обратился финансовый управляющий Поляруш И.С. с заявлением о взыскании с арбитражного управляющего Михновца Александра Александровича в конкурсную массу должника 3 620 000 рублей убытков. Определением Арбитражного суда Мурманской области от 05.07.2022 в удовлетворении заявления отказано. Постановлением Тринадцатого арбитражного апелляционного суда от 19.09.2022 определение суда первой инстанции оставлено без изменения. Арбитражный суд Северо-Западного округа постановлением от 20.12.2022 указанные судебные акты оставил без изменения. Финансовый управляющий Поляруш И.С.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4 статьи 20.4 Федерального закона от 26.10.2002 № 127-ФЗ «О несостоятельности (банкротстве)», статьей 15 Гражданского кодекса Российской Федерации, разъяснениями, изложенными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 исходили из недоказанности заявителем наличия оснований для привлечения арбитражного управляющего Михновца А.А. к ответственности в виде возмещения убытков, указав, что судом в рамках рассмотрения иного обособленного спора установлена обоснованность необращения Михновца А.А. в суд с исками к Кубышеву С.А.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