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Признавая оспоренное постановление законным, суды трех инстанций, оценив представленные в материалы дела доказательства, руководствуясь положениями статей 198 , 201 Арбитражного процессуального кодекса Российской Федерации, статей 1 , 2 , 5 Федерального закона от 02.10.2007 № 229-ФЗ «Об исполнительном производстве», разъяснениями, изложенными в пункте 35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установив доказанность факта исполнения должником судебного решения надлежащим образом, пришли к выводу о наличии у судебного пристава-исполнителя правовых оснований для окончания исполнительного производства. Доводы, изложенные в кассационной жалобе, были предметом рассмотрения судов, не опровергают их выводы, послужившие основанием для принятия судебных актов. Несогласие заявителя с выводами судов ввиду иной оценки фактических обстоятельств дела и иного применения к ним положений закона, не означает допущенной при рассмотрении дела судебной ошибки.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Главное управление Федеральной службы судебных приставов по г. Москве (подробнее) Иные лица: ООО "Газ Инжиниринг Групп"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