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Доводы кассационной жалобы направлены на переоценку установленных судами по делу фактических обстоятельств, что не может служить основанием для пересмотра судебных актов в кассационном порядке.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«Юг-Бетон+»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"Юг-Бетон+" (подробнее) Ответчики: ООО "СК СТРОЙ-МОНОЛИТ"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