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14.08.2019 иск удовлетворен частично. Постановлением Девятого арбитражного апелляционного суда от 26.11.2019 решение от 14.08.2019 отменено, в удовлетворении иска отказано. Постановлением Арбитражного суда Московского округа от 02.06.2020 решение и постановление апелляционного суда отменены в связи с неисследованием необходимых для разрешения дела обстоятельств, дело направлено на новое рассмотрение в суд первой инстанции. В кассационной жалобе общество просит отменить постановления апелляционного и окружного судов, ссылаясь на незаконную оценку договора.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установив, что существенным для дела является не оценка договора, а объем фактически оказанных услуг, не установленный судами, направил дело на новое рассмотрение для разрешения этого вопроса. Обжалуемое постановление принято окружным судом в соответствии с полномочиями и пределами их осуществления, предусмотренными статьями 286 , 287 Арбитражного процессуального кодекса Российской Федерации. Жалоба в отношении постановления апелляционной инстанции является беспредметной, учитывая его отмену.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финансовых расследований»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"Центр Финансовых расследований" (подробнее) Ответчики: ЧАСТНОЕ ПРОФЕССИОНАЛЬНОЕ ОБРАЗОВАТЕЛЬНОЕ УЧРЕЖДЕНИЕ "ЮНОШЕСКАЯ АВТОМОБИЛЬНАЯ ШКОЛА"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