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отказывая в удовлетворении иска о взыскании ущерба, суды трех инстанций, руководствуясь положениями статей 1 , 10 , 12 , 15 , 388 , 390 , 1064 , 1072 Гражданского кодекса Российской Федерации, статей 7 , 12 Федерального закона от 25.04.2002 № 40-ФЗ «Об обязательном страховании гражданской ответственности владельцев транспортных средств» (далее - Закон об ОСАГО), разъяснениями, изложенными в пункте 35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пункте 9 Обзора судебной практики Верховного Суда Российской Федерации № 2 (2021), утвержденного Президиумом Верховного Суда Российской Федерации 30.06.2021, учитывая, что требования о возмещении убытков предъявлены не потерпевшим, действия которого были бы направлены на восстановление транспортного средства, получившего повреждения в результате ДТП, а предпринимателем, получившим право требования на основании договора цессии, суды пришли к выводу о том, что в действиях заявителя усматривается наличие злоупотребления правом с целью получения страхового возмещения в денежной форме в обход положений Закона об ОСАГО.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Бронникова Юлия Дмитриевна (подробнее) Ответчики: АО Пивкомбинат Балаковский (подробнее) Иные лица: Арбитражный суд Поволжского округа (подробнее) Судьи дела: Антонова М.К.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