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в которых просил признать недействительными сделками договор купли-продажи и заявление о зачёте взаимных требований, заключенные 30.08.2019 между должником и обществом с ограниченной ответственностью «Производственно – коммерческая фирма «Янтарь-2»; применении последствий их недействительности. Определением Арбитражного суда Брянской области от 15.07.2022, оставленным без изменения постановлениями Двадцатого арбитражного апелляционного суда от 26.10.2022 и Арбитражного суда Центрального округа от 26.12.2022,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исходили из недоказанности совокупности условий, необходимых для признания недействительными оспариваемых сделок как не повлекших за собой причинения имущественного вреда кредиторам, не установив у них пороков, выходящих за пределы дефектов подозрительных сделок и позволяющих применить положения статей 10 и 168 Гражданского кодекса Российской Федерации.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«Строительно-коммерческая фирма «Комфорт» Михальцову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