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рассматривая спор, суды трех инстанций, руководствуясь положениями статей 15, 328, 393, 393.1, 475, 506, 518 Гражданского кодекса Российской Федерации, учитывая разъяснения, изложенные в постановлениях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от 24.03.2016 № 7 «О применении судами некоторых положений Гражданского кодекса Российской Федерации об ответственности за нарушение обязательств», и правовую позицию Высшего Арбитражного Суда Российской Федерации, сформулированную в постановлении от 26.03.2013 № 15078/12, пришли к выводу о наличии оснований для удовлетворения заявленного требования о взыскании убытков. Доводы, изложенные в кассационной жалобе, в том числе об одностороннем переносе сроков поставки и о возникновении обязанности по поставке товара с момента полной предварительной оплаты цены спецификации, являлись предметом рассмотрения судов в рамках настоящего дела и дела № А53-27850/2021. Переоценка доказательств и установленных судами фактических обстоятельств спора в силу статьи 2916 Арбитражного процессуального 2 кодекса Российской Федерации не входит в полномочия Судебной коллегии Верховного Суда Российской Федерации. Существенных нарушений норм материального и процессуального права, которые повлияли на исход дела и без устранения которых невозможно восстановить нарушенное право заявителя, судами не допущено.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«Донские угли»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