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Костромской области от 19.07.2022, оставленным без изменения постановлением Второго арбитражного апелляционного суда от 19.09.2022 и постановлением Арбитражного суда Волго-Вятского округа от 17.01.2023, в удовлетворении заявления Соколова Н.М. об исправлении описки, допущенной в определении Арбитражного суда Костромской области от 10.06.2022, отказано. В кассационной жалобе Соколов Н.М. просит отменить судебные акты как незаконные.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Изменение существа мотивировочной части определения, требуемое Соколовым Н.М., не попадает под случаи применения статьи 179 Арбитражного процессуального кодекса Российской Федерации, поэтому заявление правомерно отклонено.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