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18.04.2022, оставленным без изменения постановлением Десятого арбитражного апелляционного суда от 23.06.2022 и постановлением Арбитражного суда Московского округа от 25.10.2022, в удовлетворении заявлений в части исключения имущества из конкурсной массы отказано, производство по требованию об исключении из конкурсной массы денежных средств прекращено. В кассационных жалобах Тарасов А.Г. и Тарасова Н.В. просят об отмене судебных актов, ссылаясь на отсутствие вмененного судами злоупотребления правом, игнорирование установленного судами общей юрисдикции права собственности Тарасовой Н.В. на спорное имущество и невозможности регистрации ею этого права в связи с действием обеспечительных мер, нарушение права на жилище.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спорные жилой дом и земельные участки не являлись для должника единственным пригодным для проживания жильем, поскольку заключением брачного договора должник выразил волеизъявление о передаче их в собственность супруги и совместно с ней – в залог в обеспечение кредитных обязательств, совершил действия по искусственному приданию этому имуществу признаков исполнительского иммунитета в преддверии подачи заявления о собственном банкротстве. Подобное поведение, компетентно оценено судами в качестве злоупотребления, влекущего отказ в применении исполнительского иммунитета в силу статьи 10 Гражданского кодекса Российской Федерации и постановления Конституционного Суда Российской Федерации от 26.04.2021 № 15-П. Довод жалоб о принадлежности на праве собственности дома и земельных участков Тарасовой Н.В. на основании судебных актов судов общей юрисдикции опровергается решением Раменского городского суда Московской области от 13.07.2016 по делу № 2-3022/2016, которым произведен выдел 1/2 доли этого имущества должнику и исполнением решения посредством государственной регистрации за должником права собственности. Довод о нарушении жилищных прав Тарасовой Н.В. неоснователен, поскольку из исследованных судами обстоятельств не следует, что для нее спорное имущество является единственным пригодным жильем. Право Тарасовой Н.В. на супружескую долю в спорном имуществе защищено правилом пункта 7 статьей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Тарасову Александру Григорьевичу и Тарасовой Наталье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