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гражданского законодательства и законодательства, регулирующего обращение с твердыми коммунальными отходами (далее – ТКО) и порядок их коммерческого учета объема 2 и (или) массы, установив факт оказания истцом (региональный оператор) ответчику в спорный период услуг по обращению с ТКО, отсутствие доказательств ненадлежащего оказания истцом услуг, а также оплаты ответчиком оказанных услуг, суд апелляционной инстанции, с которым согласился суд округа, пришел к выводу о наличии оснований для удовлетворения иска. Доводы кассационной жалобы не подтверждают наличие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сводятся к переоценке доказательств и установлению иных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«Проект-Девелопмент»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