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ходатайства о восстановлении срока для предъявления исполнительного листа к исполнению и подтверждая правильность этого вывода, суд округа, исследовав и оценив представленные в материалы дела доказательства, руководствуясь статьями 117, 322 Арбитражного процессуального кодекса Российской Федерации, исходил 2 из недоказанности заявителем наличия уважительных причин, свидетельствующих об обстоятельствах, препятствующих своевременному предъявлению им к исполнению исполнительного листа. Доводы кассационной жалобы не опровергают выводы суда, не подтверждают существенных нарушений судом норм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Дурдыева Ильи Тарасовича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